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drawing>
          <wp:inline distT="0" distB="0" distL="0" distR="0">
            <wp:extent cx="693420" cy="883920"/>
            <wp:effectExtent l="0" t="0" r="0" b="0"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tabs>
          <w:tab w:val="left" w:pos="4320"/>
          <w:tab w:val="left" w:pos="4680"/>
          <w:tab w:val="left" w:pos="540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</w:t>
      </w:r>
      <w:r>
        <w:rPr>
          <w:rFonts w:hint="default" w:ascii="Times New Roman" w:hAnsi="Times New Roman"/>
          <w:b/>
          <w:color w:val="000000"/>
          <w:sz w:val="28"/>
          <w:szCs w:val="28"/>
          <w:lang w:val="ru-RU"/>
        </w:rPr>
        <w:t xml:space="preserve"> ШАУМЯНСКОГО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>
      <w:pPr>
        <w:pStyle w:val="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ТУАПСИНСКОГО РАЙОНА</w:t>
      </w:r>
    </w:p>
    <w:p>
      <w:pPr>
        <w:pStyle w:val="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7"/>
        <w:ind w:left="1134" w:right="1274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СЕССИЯ –</w:t>
      </w:r>
    </w:p>
    <w:p>
      <w:pPr>
        <w:pStyle w:val="7"/>
        <w:ind w:left="1134" w:right="1274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>
      <w:pPr>
        <w:pStyle w:val="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 Е Ш Е Н И Е</w:t>
      </w:r>
    </w:p>
    <w:p>
      <w:pPr>
        <w:pStyle w:val="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ind w:firstLine="0"/>
        <w:jc w:val="center"/>
        <w:rPr>
          <w:u w:val="single"/>
          <w:lang w:val="en-US"/>
        </w:rPr>
      </w:pPr>
      <w:r>
        <w:t xml:space="preserve">от  </w:t>
      </w:r>
      <w:r>
        <w:rPr>
          <w:lang w:val="en-US"/>
        </w:rPr>
        <w:t>___________</w:t>
      </w:r>
      <w:r>
        <w:t xml:space="preserve">                                                                                          №  </w:t>
      </w:r>
      <w:r>
        <w:rPr>
          <w:lang w:val="en-US"/>
        </w:rPr>
        <w:t>______</w:t>
      </w:r>
    </w:p>
    <w:p>
      <w:pPr>
        <w:jc w:val="center"/>
        <w:rPr>
          <w:rFonts w:hint="default"/>
          <w:color w:val="000000"/>
          <w:lang w:val="ru-RU"/>
        </w:rPr>
      </w:pPr>
      <w:r>
        <w:rPr>
          <w:color w:val="000000"/>
        </w:rPr>
        <w:t xml:space="preserve">с. </w:t>
      </w:r>
      <w:r>
        <w:rPr>
          <w:color w:val="000000"/>
          <w:lang w:val="ru-RU"/>
        </w:rPr>
        <w:t>Шаумян</w:t>
      </w:r>
    </w:p>
    <w:p>
      <w:pPr>
        <w:pStyle w:val="19"/>
        <w:outlineLvl w:val="0"/>
      </w:pPr>
    </w:p>
    <w:p>
      <w:pPr>
        <w:pStyle w:val="11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порядке посещения </w:t>
      </w:r>
    </w:p>
    <w:p>
      <w:pPr>
        <w:pStyle w:val="11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субъектами общественного контроля органов местного </w:t>
      </w:r>
    </w:p>
    <w:p>
      <w:pPr>
        <w:pStyle w:val="11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самоуправления и муниципальных организаций </w:t>
      </w:r>
    </w:p>
    <w:p>
      <w:pPr>
        <w:pStyle w:val="11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Шаумянского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>
      <w:pPr>
        <w:ind w:firstLine="0"/>
        <w:jc w:val="center"/>
      </w:pPr>
      <w:r>
        <w:rPr>
          <w:b/>
          <w:bCs/>
        </w:rPr>
        <w:t>Туапсинского район</w:t>
      </w:r>
    </w:p>
    <w:p>
      <w:pPr>
        <w:ind w:firstLine="0"/>
        <w:jc w:val="center"/>
      </w:pPr>
    </w:p>
    <w:p>
      <w:r>
        <w:t xml:space="preserve">В соответствии с пунктом 4 части 1 статьи 10 Федерального закона                от 21 июля 2014 г. № 212-ФЗ «Об основах общественного контроля                             в Российской Федерации», пунктом 7 статьи 8 Закона Краснодарского края                от 25 декабря 2015 г. № 3305-КЗ «Об общественном контроле в Краснодарском крае», Уставом </w:t>
      </w:r>
      <w:r>
        <w:rPr>
          <w:lang w:val="ru-RU"/>
        </w:rPr>
        <w:t>Шаумянского</w:t>
      </w:r>
      <w:r>
        <w:t xml:space="preserve"> сельского поселения Туапсинского района, Совет </w:t>
      </w:r>
      <w:r>
        <w:rPr>
          <w:lang w:val="ru-RU"/>
        </w:rPr>
        <w:t>Шаумянского</w:t>
      </w:r>
      <w:r>
        <w:t xml:space="preserve"> сельского поселения Туапсинского района р е ш и л:</w:t>
      </w:r>
    </w:p>
    <w:p>
      <w:r>
        <w:t xml:space="preserve">1. Утвердить Положение о порядке посещения субъектами общественного контроля органов местного самоуправления и муниципальных организаций </w:t>
      </w:r>
      <w:r>
        <w:rPr>
          <w:lang w:val="ru-RU"/>
        </w:rPr>
        <w:t>Шаумянского</w:t>
      </w:r>
      <w:r>
        <w:t xml:space="preserve"> сельского поселения Туапсинского района согласно приложению к настоящему решению.</w:t>
      </w:r>
    </w:p>
    <w:p>
      <w:pPr>
        <w:shd w:val="clear" w:color="auto" w:fill="FFFFFF"/>
        <w:contextualSpacing/>
        <w:textAlignment w:val="baseline"/>
        <w:rPr>
          <w:color w:val="000000"/>
        </w:rPr>
      </w:pPr>
      <w:r>
        <w:rPr>
          <w:color w:val="000000"/>
        </w:rPr>
        <w:t xml:space="preserve">2. Настоящее решение разместить на официальных сайтах администрации и Совета </w:t>
      </w:r>
      <w:r>
        <w:rPr>
          <w:color w:val="000000"/>
          <w:lang w:val="ru-RU"/>
        </w:rPr>
        <w:t>Шаумянского</w:t>
      </w:r>
      <w:r>
        <w:rPr>
          <w:color w:val="000000"/>
        </w:rPr>
        <w:t xml:space="preserve"> сельского поселения Туапсинского района в информационно-телекоммуникационной сети «Интернет».</w:t>
      </w:r>
    </w:p>
    <w:p>
      <w:pPr>
        <w:pStyle w:val="11"/>
        <w:spacing w:before="0" w:beforeAutospacing="0" w:after="0"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Контроль за выполнением настоящего решения возложить на депутатскую комиссию по вопросам собственности, землепользования, строительства и жилищно-коммунального хозяйства</w:t>
      </w:r>
      <w:r>
        <w:rPr>
          <w:bCs/>
          <w:sz w:val="28"/>
          <w:szCs w:val="28"/>
        </w:rPr>
        <w:t>.</w:t>
      </w:r>
    </w:p>
    <w:p>
      <w:pPr>
        <w:rPr>
          <w:color w:val="000000"/>
        </w:rPr>
      </w:pPr>
      <w:r>
        <w:rPr>
          <w:color w:val="000000"/>
        </w:rPr>
        <w:t>4. Решение  вступает в силу со дня его обнародования.</w:t>
      </w:r>
    </w:p>
    <w:p>
      <w:pPr>
        <w:pStyle w:val="19"/>
        <w:jc w:val="right"/>
        <w:rPr>
          <w:sz w:val="28"/>
          <w:szCs w:val="28"/>
        </w:rPr>
      </w:pPr>
    </w:p>
    <w:p>
      <w:pPr>
        <w:ind w:right="-5" w:firstLine="0"/>
      </w:pPr>
      <w:r>
        <w:t xml:space="preserve">Глава </w:t>
      </w:r>
    </w:p>
    <w:p>
      <w:pPr>
        <w:ind w:right="-5" w:firstLine="0"/>
      </w:pPr>
      <w:r>
        <w:rPr>
          <w:lang w:val="ru-RU"/>
        </w:rPr>
        <w:t>Шаумянского</w:t>
      </w:r>
      <w:r>
        <w:t xml:space="preserve"> сельского поселения </w:t>
      </w:r>
    </w:p>
    <w:p>
      <w:pPr>
        <w:ind w:right="-5" w:firstLine="0"/>
        <w:rPr>
          <w:rFonts w:hint="default"/>
          <w:lang w:val="ru-RU"/>
        </w:rPr>
      </w:pPr>
      <w:r>
        <w:t xml:space="preserve">Туапсинского района                                                                         </w:t>
      </w:r>
      <w:r>
        <w:rPr>
          <w:lang w:val="ru-RU"/>
        </w:rPr>
        <w:t>А</w:t>
      </w:r>
      <w:r>
        <w:rPr>
          <w:rFonts w:hint="default"/>
          <w:lang w:val="ru-RU"/>
        </w:rPr>
        <w:t>.А. Кочканян</w:t>
      </w:r>
    </w:p>
    <w:p>
      <w:pPr>
        <w:pStyle w:val="2"/>
        <w:spacing w:before="0" w:after="0"/>
        <w:jc w:val="center"/>
        <w:rPr>
          <w:b w:val="0"/>
          <w:color w:val="000000"/>
          <w:sz w:val="28"/>
          <w:szCs w:val="28"/>
        </w:rPr>
      </w:pPr>
    </w:p>
    <w:p>
      <w:pPr>
        <w:pStyle w:val="19"/>
        <w:jc w:val="right"/>
        <w:rPr>
          <w:sz w:val="28"/>
          <w:szCs w:val="28"/>
        </w:rPr>
      </w:pPr>
    </w:p>
    <w:p>
      <w:pPr>
        <w:ind w:left="5245" w:firstLine="0"/>
      </w:pPr>
    </w:p>
    <w:p>
      <w:pPr>
        <w:ind w:left="5245" w:firstLine="0"/>
      </w:pPr>
      <w:r>
        <w:t>Приложение</w:t>
      </w:r>
    </w:p>
    <w:p>
      <w:pPr>
        <w:ind w:left="5245" w:firstLine="0"/>
      </w:pPr>
    </w:p>
    <w:p>
      <w:pPr>
        <w:ind w:left="5245" w:firstLine="0"/>
        <w:jc w:val="left"/>
      </w:pPr>
      <w:r>
        <w:t xml:space="preserve">УТВЕРЖДЕНО </w:t>
      </w:r>
    </w:p>
    <w:p>
      <w:pPr>
        <w:ind w:left="5245" w:firstLine="0"/>
        <w:jc w:val="left"/>
      </w:pPr>
      <w:r>
        <w:t xml:space="preserve">решением Совета </w:t>
      </w:r>
    </w:p>
    <w:p>
      <w:pPr>
        <w:ind w:left="5245" w:firstLine="0"/>
        <w:jc w:val="left"/>
      </w:pPr>
      <w:r>
        <w:rPr>
          <w:lang w:val="ru-RU"/>
        </w:rPr>
        <w:t>Шаумянского</w:t>
      </w:r>
      <w:r>
        <w:t xml:space="preserve"> сельского поселения Туапсинского района</w:t>
      </w:r>
    </w:p>
    <w:p>
      <w:pPr>
        <w:ind w:left="5245" w:firstLine="0"/>
        <w:jc w:val="left"/>
      </w:pPr>
      <w:r>
        <w:t>от ______________ № _______</w:t>
      </w: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left="851" w:right="849" w:firstLine="0"/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</w:p>
    <w:p>
      <w:pPr>
        <w:ind w:left="851" w:right="849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порядке посещения субъектами общественного контроля</w:t>
      </w:r>
    </w:p>
    <w:p>
      <w:pPr>
        <w:ind w:left="851" w:right="849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органов местного самоуправления и муниципальных организаций </w:t>
      </w:r>
      <w:r>
        <w:rPr>
          <w:b/>
          <w:bCs/>
          <w:color w:val="000000"/>
          <w:lang w:val="ru-RU"/>
        </w:rPr>
        <w:t>Шаумянского</w:t>
      </w:r>
      <w:r>
        <w:rPr>
          <w:b/>
          <w:bCs/>
          <w:color w:val="000000"/>
        </w:rPr>
        <w:t xml:space="preserve"> сельского поселения </w:t>
      </w:r>
    </w:p>
    <w:p>
      <w:pPr>
        <w:ind w:left="851" w:right="849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Туапсинского района</w:t>
      </w:r>
    </w:p>
    <w:p>
      <w:pPr>
        <w:ind w:firstLine="0"/>
        <w:jc w:val="center"/>
        <w:rPr>
          <w:color w:val="000000"/>
        </w:rPr>
      </w:pPr>
    </w:p>
    <w:p>
      <w:pPr>
        <w:ind w:firstLine="0"/>
        <w:jc w:val="center"/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>
        <w:rPr>
          <w:color w:val="000000"/>
          <w:lang w:val="ru-RU"/>
        </w:rPr>
        <w:t>Шаумянского</w:t>
      </w:r>
      <w:r>
        <w:rPr>
          <w:color w:val="000000"/>
        </w:rPr>
        <w:t xml:space="preserve"> сельского поселения Туапсинского района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>
        <w:rPr>
          <w:color w:val="000000"/>
          <w:lang w:val="ru-RU"/>
        </w:rPr>
        <w:t>Шаумянского</w:t>
      </w:r>
      <w:r>
        <w:rPr>
          <w:color w:val="000000"/>
        </w:rPr>
        <w:t xml:space="preserve"> сельского поселения Туапсинского района (далее - органы и организации).</w:t>
      </w:r>
    </w:p>
    <w:p>
      <w:pPr>
        <w:rPr>
          <w:color w:val="000000"/>
        </w:rPr>
      </w:pPr>
      <w:r>
        <w:rPr>
          <w:color w:val="000000"/>
        </w:rPr>
        <w:t xml:space="preserve">Понятия и термины, используемые в настоящем Положении, применяются в значениях, </w:t>
      </w:r>
      <w:r>
        <w:rPr>
          <w:color w:val="000000"/>
          <w:lang w:val="ru-RU"/>
        </w:rPr>
        <w:t>определённых</w:t>
      </w:r>
      <w:r>
        <w:rPr>
          <w:color w:val="000000"/>
        </w:rPr>
        <w:t xml:space="preserve"> Федеральным законом от 21 июля 2014 г. № 212-ФЗ «Об основах общественного контроля в Российской Федерации».</w:t>
      </w:r>
      <w:bookmarkStart w:id="1" w:name="_GoBack"/>
      <w:bookmarkEnd w:id="1"/>
    </w:p>
    <w:p>
      <w:pPr>
        <w:rPr>
          <w:color w:val="000000"/>
        </w:rPr>
      </w:pPr>
      <w:r>
        <w:rPr>
          <w:color w:val="000000"/>
        </w:rPr>
        <w:t>2. Субъекты общественного контроля вправе посещать органы и организации, в отношении которых проводится общественный контроль, в случаях:</w:t>
      </w:r>
    </w:p>
    <w:p>
      <w:pPr>
        <w:rPr>
          <w:color w:val="000000"/>
        </w:rPr>
      </w:pPr>
      <w:r>
        <w:rPr>
          <w:color w:val="000000"/>
        </w:rPr>
        <w:t>1) проведения общественной проверки;</w:t>
      </w:r>
    </w:p>
    <w:p>
      <w:pPr>
        <w:rPr>
          <w:color w:val="000000"/>
        </w:rPr>
      </w:pPr>
      <w:r>
        <w:rPr>
          <w:color w:val="000000"/>
        </w:rPr>
        <w:t>2) проведения общественной экспертизы;</w:t>
      </w:r>
    </w:p>
    <w:p>
      <w:pPr>
        <w:rPr>
          <w:color w:val="000000"/>
        </w:rPr>
      </w:pPr>
      <w:r>
        <w:rPr>
          <w:color w:val="000000"/>
        </w:rPr>
        <w:t>3) проведения общественного мониторинга.</w:t>
      </w:r>
    </w:p>
    <w:p>
      <w:pPr>
        <w:rPr>
          <w:color w:val="000000"/>
        </w:rPr>
      </w:pPr>
      <w:r>
        <w:rPr>
          <w:color w:val="000000"/>
        </w:rPr>
        <w:t>3. Субъект общественного контроля направляет письменное уведомление о посещении органа или организации (далее - уведомление) в соответствующий орган или организацию не позднее, чем за пять рабочих дней до даты посещения.</w:t>
      </w:r>
    </w:p>
    <w:p>
      <w:pPr>
        <w:rPr>
          <w:color w:val="000000"/>
        </w:rPr>
      </w:pPr>
      <w:r>
        <w:rPr>
          <w:color w:val="000000"/>
        </w:rPr>
        <w:t>4. В уведомлении субъекта общественного контроля указываются:</w:t>
      </w:r>
    </w:p>
    <w:p>
      <w:pPr>
        <w:rPr>
          <w:color w:val="000000"/>
        </w:rPr>
      </w:pPr>
      <w:r>
        <w:rPr>
          <w:color w:val="000000"/>
        </w:rPr>
        <w:t>1) основание и цель посещения;</w:t>
      </w:r>
    </w:p>
    <w:p>
      <w:pPr>
        <w:rPr>
          <w:color w:val="000000"/>
        </w:rPr>
      </w:pPr>
      <w:r>
        <w:rPr>
          <w:color w:val="000000"/>
        </w:rPr>
        <w:t>2) дата и время посещения;</w:t>
      </w:r>
    </w:p>
    <w:p>
      <w:pPr>
        <w:rPr>
          <w:color w:val="000000"/>
        </w:rPr>
      </w:pPr>
      <w:r>
        <w:rPr>
          <w:color w:val="000000"/>
        </w:rPr>
        <w:t>3) персональный состав лиц, уполномоченных субъектом общественного контроля на посещение.</w:t>
      </w:r>
    </w:p>
    <w:p>
      <w:pPr>
        <w:rPr>
          <w:color w:val="000000"/>
        </w:rPr>
      </w:pPr>
      <w:r>
        <w:rPr>
          <w:color w:val="000000"/>
        </w:rPr>
        <w:t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</w:t>
      </w:r>
    </w:p>
    <w:p>
      <w:pPr>
        <w:rPr>
          <w:color w:val="000000"/>
        </w:rPr>
      </w:pPr>
      <w:r>
        <w:rPr>
          <w:color w:val="000000"/>
        </w:rPr>
        <w:t>6. 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 и пунктами 8 и 9 настоящего Положения.</w:t>
      </w:r>
    </w:p>
    <w:p>
      <w:pPr>
        <w:rPr>
          <w:color w:val="000000"/>
        </w:rPr>
      </w:pPr>
      <w:r>
        <w:rPr>
          <w:color w:val="000000"/>
        </w:rPr>
        <w:t>7. 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законом от 21 июля 2014 г. № 212-ФЗ «Об основах общественного контроля в Российской Федерации», Законом Краснодарского края от 25 декабря 2015 г. № 3305-КЗ «Об общественном контроле в Краснодарском крае» и настоящим Положением.</w:t>
      </w:r>
    </w:p>
    <w:p>
      <w:pPr>
        <w:rPr>
          <w:color w:val="000000"/>
        </w:rPr>
      </w:pPr>
      <w:r>
        <w:rPr>
          <w:color w:val="000000"/>
        </w:rPr>
        <w:t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</w:t>
      </w:r>
    </w:p>
    <w:p>
      <w:pPr>
        <w:rPr>
          <w:color w:val="000000"/>
        </w:rPr>
      </w:pPr>
      <w:r>
        <w:rPr>
          <w:color w:val="000000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>
      <w:pPr>
        <w:rPr>
          <w:color w:val="000000"/>
        </w:rPr>
      </w:pPr>
      <w:r>
        <w:rPr>
          <w:color w:val="000000"/>
        </w:rPr>
        <w:t>9. Общее число посещений одного и того же органа или одной и той же организации не может быть более трех в течение двух календарных лет.</w:t>
      </w:r>
    </w:p>
    <w:p>
      <w:pPr>
        <w:rPr>
          <w:color w:val="000000"/>
        </w:rPr>
      </w:pPr>
      <w:r>
        <w:rPr>
          <w:color w:val="000000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>
      <w:pPr>
        <w:rPr>
          <w:color w:val="000000"/>
        </w:rPr>
      </w:pPr>
      <w:bookmarkStart w:id="0" w:name="Par54"/>
      <w:bookmarkEnd w:id="0"/>
      <w:r>
        <w:rPr>
          <w:color w:val="000000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>
      <w:pPr>
        <w:rPr>
          <w:color w:val="000000"/>
        </w:rPr>
      </w:pPr>
      <w:r>
        <w:rPr>
          <w:color w:val="000000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>
      <w:pPr>
        <w:rPr>
          <w:color w:val="000000"/>
        </w:rPr>
      </w:pPr>
      <w:r>
        <w:rPr>
          <w:color w:val="000000"/>
        </w:rPr>
        <w:t>2) беседовать с работниками органа или организации (по согласованию с их непосредственными руководителями);</w:t>
      </w:r>
    </w:p>
    <w:p>
      <w:pPr>
        <w:rPr>
          <w:color w:val="000000"/>
        </w:rPr>
      </w:pPr>
      <w:r>
        <w:rPr>
          <w:color w:val="000000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>
      <w:pPr>
        <w:rPr>
          <w:color w:val="000000"/>
        </w:rPr>
      </w:pPr>
      <w:r>
        <w:rPr>
          <w:color w:val="000000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>
      <w:pPr>
        <w:rPr>
          <w:color w:val="000000"/>
        </w:rPr>
      </w:pPr>
      <w:r>
        <w:rPr>
          <w:color w:val="000000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>
      <w:pPr>
        <w:rPr>
          <w:color w:val="000000"/>
        </w:rPr>
      </w:pPr>
      <w:r>
        <w:rPr>
          <w:color w:val="000000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>
      <w:pPr>
        <w:rPr>
          <w:color w:val="000000"/>
        </w:rPr>
      </w:pPr>
      <w:r>
        <w:rPr>
          <w:color w:val="000000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>
      <w:pPr>
        <w:rPr>
          <w:color w:val="000000"/>
        </w:rPr>
      </w:pPr>
      <w:r>
        <w:rPr>
          <w:color w:val="000000"/>
        </w:rPr>
        <w:t>3) не препятствовать осуществлению текущей деятельности органа и организации.</w:t>
      </w:r>
    </w:p>
    <w:p>
      <w:pPr>
        <w:rPr>
          <w:color w:val="000000"/>
        </w:rPr>
      </w:pPr>
      <w:r>
        <w:rPr>
          <w:color w:val="000000"/>
        </w:rPr>
        <w:t>13. По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общественного мониторинга.</w:t>
      </w:r>
    </w:p>
    <w:p>
      <w:pPr>
        <w:ind w:firstLine="0"/>
        <w:rPr>
          <w:color w:val="000000"/>
        </w:rPr>
      </w:pPr>
    </w:p>
    <w:p>
      <w:pPr>
        <w:ind w:firstLine="0"/>
        <w:rPr>
          <w:color w:val="000000"/>
        </w:rPr>
      </w:pPr>
    </w:p>
    <w:p>
      <w:pPr>
        <w:ind w:firstLine="0"/>
        <w:rPr>
          <w:color w:val="000000"/>
        </w:rPr>
      </w:pPr>
    </w:p>
    <w:p>
      <w:pPr>
        <w:pStyle w:val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>
      <w:pPr>
        <w:pStyle w:val="1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 </w:t>
      </w:r>
    </w:p>
    <w:p>
      <w:pPr>
        <w:pStyle w:val="1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Туапсинского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А.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 xml:space="preserve"> Кочканян</w:t>
      </w:r>
    </w:p>
    <w:p>
      <w:pPr>
        <w:pStyle w:val="19"/>
        <w:jc w:val="center"/>
        <w:outlineLvl w:val="0"/>
        <w:rPr>
          <w:sz w:val="28"/>
          <w:szCs w:val="28"/>
        </w:rPr>
      </w:pPr>
    </w:p>
    <w:p>
      <w:pPr>
        <w:ind w:firstLine="0"/>
        <w:rPr>
          <w:color w:val="000000"/>
        </w:rPr>
      </w:pPr>
    </w:p>
    <w:sectPr>
      <w:headerReference r:id="rId5" w:type="default"/>
      <w:pgSz w:w="11906" w:h="16838"/>
      <w:pgMar w:top="709" w:right="707" w:bottom="426" w:left="1701" w:header="709" w:footer="510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11433"/>
      <w:docPartObj>
        <w:docPartGallery w:val="AutoText"/>
      </w:docPartObj>
    </w:sdtPr>
    <w:sdtContent>
      <w:p>
        <w:pPr>
          <w:pStyle w:val="8"/>
        </w:pPr>
        <w:r>
          <w:pict>
            <v:shape id="PowerPlusWaterMarkObject605829728" o:spid="_x0000_s2049" o:spt="136" type="#_x0000_t136" style="position:absolute;left:0pt;height:226.45pt;width:452.9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    <v:path/>
              <v:fill on="t" opacity="32768f" focussize="0,0"/>
              <v:stroke on="f"/>
              <v:imagedata o:title=""/>
              <o:lock v:ext="edit"/>
              <v:textpath on="t" fitpath="t" trim="f" xscale="f" string="ПРОЕКТ" style="font-family:calibri;font-size:1pt;v-text-align:center;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46"/>
    <w:rsid w:val="000519E6"/>
    <w:rsid w:val="00097333"/>
    <w:rsid w:val="000B5C78"/>
    <w:rsid w:val="00117168"/>
    <w:rsid w:val="00194ACE"/>
    <w:rsid w:val="001A31FF"/>
    <w:rsid w:val="001A5EDD"/>
    <w:rsid w:val="001C7380"/>
    <w:rsid w:val="001D288B"/>
    <w:rsid w:val="00283712"/>
    <w:rsid w:val="00292C28"/>
    <w:rsid w:val="0034674F"/>
    <w:rsid w:val="00361065"/>
    <w:rsid w:val="00397058"/>
    <w:rsid w:val="003D4A49"/>
    <w:rsid w:val="00404925"/>
    <w:rsid w:val="00482746"/>
    <w:rsid w:val="004A304C"/>
    <w:rsid w:val="004D4506"/>
    <w:rsid w:val="00517BC8"/>
    <w:rsid w:val="005773F3"/>
    <w:rsid w:val="005A5CBD"/>
    <w:rsid w:val="00650008"/>
    <w:rsid w:val="00673B5C"/>
    <w:rsid w:val="006774F0"/>
    <w:rsid w:val="00690D42"/>
    <w:rsid w:val="006A1CAD"/>
    <w:rsid w:val="006A26C9"/>
    <w:rsid w:val="006D290D"/>
    <w:rsid w:val="006D6890"/>
    <w:rsid w:val="0070497E"/>
    <w:rsid w:val="00746B7A"/>
    <w:rsid w:val="007608C3"/>
    <w:rsid w:val="007E377E"/>
    <w:rsid w:val="00817B22"/>
    <w:rsid w:val="008449CA"/>
    <w:rsid w:val="00877E60"/>
    <w:rsid w:val="008E0482"/>
    <w:rsid w:val="00920D2F"/>
    <w:rsid w:val="009A66A0"/>
    <w:rsid w:val="00A23F61"/>
    <w:rsid w:val="00A43312"/>
    <w:rsid w:val="00A968AB"/>
    <w:rsid w:val="00AA7B46"/>
    <w:rsid w:val="00AD52B5"/>
    <w:rsid w:val="00B129C1"/>
    <w:rsid w:val="00B14FE9"/>
    <w:rsid w:val="00B426DE"/>
    <w:rsid w:val="00B83420"/>
    <w:rsid w:val="00B84456"/>
    <w:rsid w:val="00C83E4B"/>
    <w:rsid w:val="00CB71A8"/>
    <w:rsid w:val="00CD3605"/>
    <w:rsid w:val="00DB387D"/>
    <w:rsid w:val="00E16BA8"/>
    <w:rsid w:val="00E20612"/>
    <w:rsid w:val="00E26AB7"/>
    <w:rsid w:val="00E506D6"/>
    <w:rsid w:val="00E643C6"/>
    <w:rsid w:val="00E7464A"/>
    <w:rsid w:val="00EB082D"/>
    <w:rsid w:val="00F514DC"/>
    <w:rsid w:val="00F55546"/>
    <w:rsid w:val="00F763E8"/>
    <w:rsid w:val="1F5064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ind w:firstLine="709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styleId="2">
    <w:name w:val="heading 6"/>
    <w:basedOn w:val="1"/>
    <w:next w:val="1"/>
    <w:link w:val="24"/>
    <w:qFormat/>
    <w:uiPriority w:val="0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000FF"/>
      <w:u w:val="single"/>
    </w:rPr>
  </w:style>
  <w:style w:type="paragraph" w:styleId="6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Plain Text"/>
    <w:basedOn w:val="1"/>
    <w:link w:val="23"/>
    <w:qFormat/>
    <w:uiPriority w:val="0"/>
    <w:pPr>
      <w:ind w:firstLine="0"/>
      <w:jc w:val="left"/>
    </w:pPr>
    <w:rPr>
      <w:rFonts w:ascii="Courier New" w:hAnsi="Courier New"/>
      <w:sz w:val="20"/>
      <w:szCs w:val="20"/>
    </w:rPr>
  </w:style>
  <w:style w:type="paragraph" w:styleId="8">
    <w:name w:val="header"/>
    <w:basedOn w:val="1"/>
    <w:link w:val="20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Title"/>
    <w:basedOn w:val="1"/>
    <w:link w:val="18"/>
    <w:qFormat/>
    <w:uiPriority w:val="0"/>
    <w:pPr>
      <w:ind w:firstLine="0"/>
      <w:jc w:val="center"/>
    </w:pPr>
    <w:rPr>
      <w:b/>
      <w:bCs/>
      <w:sz w:val="32"/>
      <w:szCs w:val="24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Normal (Web)"/>
    <w:basedOn w:val="1"/>
    <w:unhideWhenUsed/>
    <w:uiPriority w:val="99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2">
    <w:name w:val="Без интервала Знак"/>
    <w:link w:val="13"/>
    <w:qFormat/>
    <w:locked/>
    <w:uiPriority w:val="99"/>
    <w:rPr>
      <w:rFonts w:ascii="Calibri" w:hAnsi="Calibri" w:cs="Calibri"/>
    </w:rPr>
  </w:style>
  <w:style w:type="paragraph" w:styleId="13">
    <w:name w:val="No Spacing"/>
    <w:link w:val="12"/>
    <w:qFormat/>
    <w:uiPriority w:val="1"/>
    <w:pPr>
      <w:spacing w:after="0" w:line="240" w:lineRule="auto"/>
    </w:pPr>
    <w:rPr>
      <w:rFonts w:ascii="Calibri" w:hAnsi="Calibri" w:cs="Calibri" w:eastAsiaTheme="minorHAnsi"/>
      <w:sz w:val="22"/>
      <w:szCs w:val="22"/>
      <w:lang w:val="ru-RU" w:eastAsia="en-US" w:bidi="ar-SA"/>
    </w:rPr>
  </w:style>
  <w:style w:type="paragraph" w:customStyle="1" w:styleId="14">
    <w:name w:val="Валера"/>
    <w:basedOn w:val="1"/>
    <w:uiPriority w:val="99"/>
    <w:pPr>
      <w:spacing w:line="360" w:lineRule="auto"/>
    </w:pPr>
  </w:style>
  <w:style w:type="character" w:customStyle="1" w:styleId="15">
    <w:name w:val="Текст выноски Знак"/>
    <w:basedOn w:val="3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Гиперссылка1"/>
    <w:qFormat/>
    <w:uiPriority w:val="0"/>
  </w:style>
  <w:style w:type="character" w:customStyle="1" w:styleId="18">
    <w:name w:val="Название Знак"/>
    <w:basedOn w:val="3"/>
    <w:link w:val="9"/>
    <w:qFormat/>
    <w:uiPriority w:val="0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paragraph" w:customStyle="1" w:styleId="19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20">
    <w:name w:val="Верхний колонтитул Знак"/>
    <w:basedOn w:val="3"/>
    <w:link w:val="8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21">
    <w:name w:val="Нижний колонтитул Знак"/>
    <w:basedOn w:val="3"/>
    <w:link w:val="10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customStyle="1" w:styleId="22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character" w:customStyle="1" w:styleId="23">
    <w:name w:val="Текст Знак"/>
    <w:basedOn w:val="3"/>
    <w:link w:val="7"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character" w:customStyle="1" w:styleId="24">
    <w:name w:val="Заголовок 6 Знак"/>
    <w:basedOn w:val="3"/>
    <w:link w:val="2"/>
    <w:uiPriority w:val="0"/>
    <w:rPr>
      <w:rFonts w:ascii="Times New Roman" w:hAnsi="Times New Roman" w:eastAsia="Times New Roman" w:cs="Times New Roman"/>
      <w:b/>
      <w:bCs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1083</Words>
  <Characters>6175</Characters>
  <Lines>51</Lines>
  <Paragraphs>14</Paragraphs>
  <TotalTime>8</TotalTime>
  <ScaleCrop>false</ScaleCrop>
  <LinksUpToDate>false</LinksUpToDate>
  <CharactersWithSpaces>7244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2022-05-31T14:19:00Z</dcterms:created>
  <dc:creator>User</dc:creator>
  <cp:lastModifiedBy>User1</cp:lastModifiedBy>
  <cp:lastPrinted>2022-03-28T05:29:00Z</cp:lastPrinted>
  <dcterms:modified xsi:type="dcterms:W3CDTF">2022-06-01T12:05:13Z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B4EA3E489117448EAC03641893F53B4B</vt:lpwstr>
  </property>
</Properties>
</file>