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bookmarkStart w:id="0" w:name="bookmark4"/>
      <w:r>
        <w:rPr>
          <w:rFonts w:hint="default" w:ascii="Times New Roman" w:hAnsi="Times New Roman" w:cs="Times New Roman"/>
          <w:sz w:val="20"/>
          <w:szCs w:val="20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2696210</wp:posOffset>
            </wp:positionH>
            <wp:positionV relativeFrom="line">
              <wp:posOffset>-140970</wp:posOffset>
            </wp:positionV>
            <wp:extent cx="495300" cy="627380"/>
            <wp:effectExtent l="0" t="0" r="0" b="1270"/>
            <wp:wrapSquare wrapText="bothSides"/>
            <wp:docPr id="1" name="Изображение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Герб Шаумянского сельского поселени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360" w:lineRule="auto"/>
        <w:jc w:val="center"/>
        <w:outlineLvl w:val="0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ПОСТАНОВЛЕНИЕ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АДМИНИСТРАЦИИ ШАУМЯНСКОГО СЕЛЬСКОГО ПОСЕЛЕНИЯ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ТУАПСИНСКОГО РАЙОНА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1120" w:firstLineChars="400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27.06.2019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    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90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с. Шаумян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условиях предоставления                      в аренду имущества, включ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 xml:space="preserve">нного в перечень муниципального               имущества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Туапсинского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                   среднего предпринимательства</w:t>
      </w:r>
      <w:bookmarkEnd w:id="0"/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  <w:lang w:val="ru-RU"/>
        </w:rPr>
        <w:t>Уставом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 о с т а н о в л я ю: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 Положение о порядке и условиях предоставления в аренду имущества,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нного в перечень муниципального имущества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в информационно-телекоммуникационной сети «Интернет».</w:t>
      </w:r>
    </w:p>
    <w:p>
      <w:pPr>
        <w:pStyle w:val="2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color w:val="000000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pStyle w:val="27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Постановление вступает в силу со дня его официального обнародования.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Style w:val="27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Исполняющий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обязанности 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ы</w:t>
      </w:r>
    </w:p>
    <w:p>
      <w:pPr>
        <w:pStyle w:val="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Шаумянского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сельского поселения</w:t>
      </w:r>
    </w:p>
    <w:p>
      <w:pPr>
        <w:pStyle w:val="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  <w:sectPr>
          <w:pgSz w:w="11906" w:h="16838"/>
          <w:pgMar w:top="1134" w:right="605" w:bottom="1134" w:left="1701" w:header="709" w:footer="709" w:gutter="0"/>
          <w:cols w:space="708" w:num="1"/>
          <w:titlePg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Туапсинского района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Т.А.Делигевурян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tbl>
      <w:tblPr>
        <w:tblStyle w:val="7"/>
        <w:tblpPr w:leftFromText="180" w:rightFromText="180" w:vertAnchor="text" w:tblpXSpec="right" w:tblpY="1"/>
        <w:tblOverlap w:val="never"/>
        <w:tblW w:w="46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667" w:type="dxa"/>
          </w:tcPr>
          <w:p>
            <w:pPr>
              <w:pStyle w:val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>
            <w:pPr>
              <w:pStyle w:val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>
            <w:pPr>
              <w:pStyle w:val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Шаумянского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>
            <w:pPr>
              <w:pStyle w:val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>
            <w:pPr>
              <w:pStyle w:val="27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.2019 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</w:tr>
    </w:tbl>
    <w:p>
      <w:pPr>
        <w:pStyle w:val="2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pStyle w:val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в аренду имущества,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включ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нного в перечень муниципального имущества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Туапсинского района, предназначенного                            для передачи во владение и (или) в пользование субъектам малого                       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                26 июля 2006 года № 135-ФЗ «О защите конкуренции» и определяет порядок и условия предоставления в аренду,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нного в перечень муниципального имущества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                           (за исключением земельных участков),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земельных участков,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в Перечень, устанавливаются в соответствии с гражданским законодательством и земельным законодательством.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имущество,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нное в Перечень, может быть предоставлено в аренду: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субъектам малого и среднего предпринимательства, за исключением указанных в части 3 статьи 14 Федерального закона от 24 июля 2007 года                    № 209-ФЗ «О развитии малого и среднего предпринимательства в Российской Федерации» (далее - субъекты МСП);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организациям, образующим инфраструктуру поддержки субъектов малого и среднего предпринимательства, 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учреждений, указанных в статье 15 Федерального закона от 24 июля 2007 года № 209-ФЗ              «О развитии малого и среднего предпринимательства в Российской Федерации» (далее - организации, образующие инфраструктуру поддержки субъектов МСП).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имущество,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нное в Перечень, предоставляется в аренду по результатам проведения торгов в форме аукциона или конкурса.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Юридические и физические лица, не относящиеся к категории субъектов МСП и организаций, образующих инфраструктуру поддержки субъектов МСП, к участию в торгах не допускаются.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Без проведения торгов муниципальное имущество,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нное в Перечень, может быть передано субъектам МСП и организациям, образующим инфраструктуру поддержки субъектов МСП, в аренду в случаях, предусмотренных Федеральным законом от 26.07.2006 № 135-ФЗ «О защите конкуренции».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имущество,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нное в Перечень, предоставляется в аренду с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том положений части 5 статьи 18 Федерального закона от 24 июля 2007 года № 209-ФЗ «О развитии малого и среднего предпринимательства в Российской Федерации».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обращении субъектов МСП за оказанием имущественной поддержки субъекты МСП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(подпрограмм).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требовать у субъектов МСП предоставления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нный Федеральным законом от 27.07.2010 № 210-ФЗ «Об организации предоставления государственных и муниципальных услуг» перечень документов.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Лицом, уполномоченным на принятие решений о предоставлении в аренду субъектам МСП и организациям, образующим инфраструктуру поддержки субъектов МСП муниципального имущества,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нного в Перечень, а также осуществляющим организацию и проведение торгов является: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(организатор торгов).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Решение об организации и проведении торгов на право заключения договоров аренды в отношении имущества,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нного в Перечень, или предоставлении указанного имущества без проведения торгов оформляется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района, распорядительным документом муниципального унитарного предприятия, муниципального учреждения, в случаях, установленных пунктом 5 настоящего Положения.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Согласование сделок по предоставлению имущества в аренду муниципальными унитарными предприятиями или муниципальными учреждениями осуществляется в соответствии с действующим законодательством Российской Федерации.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Предоставление в аренду муниципального имущества,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в Перечень, по результатам проведения торгов (конкурсов, аукционов) на право заключения договоров аренды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нными приказом Федеральной антимонопольной службы от 10 февраля 2010 года № 67 (далее -Правила).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 проведении торгов (конкурсов, аукционов) на право заключения договоров аренды муниципального имущества,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в Перечень, или предоставляет указанное имущество без торгов, в случаях, предусмотренных Федеральным законом от 26 июля 2006 № 135-ФЗ «О защите конкуренции», на основании заявлений субъектов МСП и организаций, образующих инфраструктуру поддержки субъектов МСП, а в случае отсутствия заявлений — организует проведение торгов (конкурсов, аукционов) по собственной инициативе.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случае поступления заявлений о заключении договора аренды муниципального имущества,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в Перечень, от нескольких субъектов МСП или организаций, образующих инфраструктуру поддержки субъектов МСП (далее - заявитель), имеющих право на заключение договора аренды без проведения торгов, имущество предоставляется заявителю, предложение которого поступило раньше.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случае отсутствия у заявителя права на заключение договора аренды муниципального имущества,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в Перечень, без проведения торгов, уполномоченный орган организует проведение торгов.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не позднее 6 месяцев с даты включения муниципального имущества в Перечень (при отсутствии заявлений) организует проведение торгов (аукционов, конкурсов) на право заключения договора аренды муниципального имущества среди субъектов МСП и организаций, образующих инфраструктуру поддержки субъектов МСП по собственной инициативе.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принятия решения о предоставлении муниципального имущества,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в Перечень, в аренду, субъекты МСП или организации, образующие инфраструктуру поддержки субъектов МСП, предоставляют в уполномоченный орган следующие документы: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заявление о предоставлении в аренду муниципального имущества,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в Перечень, в письменном виде с указанием наименования заявителя, его юридического адреса, почтового адреса, по которому должен быть направлен ответ, даты, наименования (характеристик имущества), срока договора, цели использования имущества, способа заключения (на торгах, без проведения торгов);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гражданина Российской Федерации, - для физического лица;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копию Устава, Учредительного договора (при наличии) или иных учредительных документов - для юридического лица;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юридического лица либо о государственной регистрации физического лица в качестве индивидуального предпринимателя;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документы, подтверждающие полномочия должностного лица, или доверенность от имени юридического лица.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течение тридцати календарных дней со дня поступления заявления о предоставлении муниципального имущества,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в Перечень, принимает одно из следующих решений: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 возможности предоставления муниципального имущества в аренду без проведения торгов в случаях, предусмотренных стать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й 17.1 Федерального закона от 26 июля 2006 года № 135-ФЗ «О защите конкуренции».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 возможности предоставления муниципального имущества в аренду без проведения торгов в случаях, предусмотренных главой 5 Федерального закона от 26 июля 2006 года № 135-ФЗ «О защите конкуренции».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 возможности предоставления муниципального имущества исключительно по результатам проведения торгов на право заключения договора аренды.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муниципального имущества с указанием причин отказа.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заявителю в течение тридцати календарных дней со дня поступления заявления.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в аренду муниципального имущества,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в Перечень, являются: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не предоставление документов, указанных в пункте 9, или представление недостоверных сведений и документов;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несоответствие заявителя условиям предоставления имущественной поддержки, предусмотренным пунктом 2 настоящего Положения;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предоставление заявителю в аренду муниципального имущества,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в Перечень, по договору аренды, срок действия которого не ист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к;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имущество,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долгосрочной основе.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Срок, на который заключаются договоры в отношении имущества,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3 года.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истечении срока действия договора аренды муниципального имущества заключение такого договора на новый срок возможно без проведения торгов (если иное не установлено договором и срок действия договора не ограничен законодательством Российской Федерации) с арендатором, первоначально заключившим его по результатам проведения торгов и исполнившим надлежащим образом свои обязанности, при одновременном соблюдении следующих условий: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минимальный срок, на который перезаключается договор аренды муниципального имущества, должен составлять не менее чем три года. Срок может быть уменьшен только на основании заявления арендатора.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Уполномоченный орган не вправе отказать арендатору в заключении на новый срок договора аренды муниципального имущества, за исключением следующих случаев: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решения, предусматривающего иной порядок распоряжения таким имуществом;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 государственного имущества.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Использование муниципального имущества,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в Перечень, переданного по договорам аренды субъектам МСП и организациям, образующим инфраструктуру поддержки субъектов МСП, не по целевому назначению не допускается.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      № 135-ФЗ «О защите конкуренции».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случае нарушения арендатором требований пунктов 2 и 10 настоящего Положения, уполномоченный орган имеет право потребовать расторжения договора аренды муниципального имущества и возмещения убытков.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Размер арендной платы по договору аренды муниципального имущества, заключаемому на торгах, определяется в процессе проведения торгов в порядке, установленном Правилами. Начальный размер арендной платы определяется на основании отч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Размер арендной платы по договору аренды муниципального имущества,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в Перечень, заключаемому без проведения торгов, определяется на основании отч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Арендная плата по договору аренды за пользование муниципальным имуществом подлежит ежегодной индексации на коэффициент инфляции, установленный Федеральным законом о федеральном бюджете на очередной финансовый год по состоянию на 1 января финансового года, но не ранее, чем через год после заключения договора аренды.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Арендная плата за пользование муниципальным имуществом,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нным в Перечень, по договорам аренды, заключ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нным с субъектами МСП, вносится в следующем порядке: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первый год аренды - 40 процентов размера арендной платы; 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 второй год аренды - 60 процентов размера арендной платы; 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третий год аренды - 80 процентов размера арендной платы; 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четв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ртый год аренды и далее - 100 процентов размера арендной платы.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Льготы по уплате арендной платы предоставляются путем указания в договорах аренды муниципального имущества, заключ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с субъектами МСП, порядка уплаты арендной платы, предусмотренного настоящим пунктом.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договора аренды имущества, включ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в перечень, на новый срок арендная плата вносится в размере 100 процентов от размера арендной платы.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Льготы по уплате арендной платы предоставляются субъектам малого и среднего предпринимательства, являющимися сельскохозяйственными кооперативами или занимающимися социально значимыми видами деятельности, иными приоритетными видами деятельности, установленными муниципальной программой, содержащей мероприятия, направленные на развитие малого и среднего предпринимательства.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>
      <w:pPr>
        <w:pStyle w:val="27"/>
        <w:jc w:val="both"/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.П.Петрова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</w:p>
    <w:sectPr>
      <w:headerReference r:id="rId5" w:type="default"/>
      <w:pgSz w:w="11900" w:h="16840"/>
      <w:pgMar w:top="1119" w:right="573" w:bottom="1375" w:left="1651" w:header="691" w:footer="947" w:gutter="0"/>
      <w:pgNumType w:start="1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93079"/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27574E"/>
    <w:rsid w:val="000B0065"/>
    <w:rsid w:val="00110E0D"/>
    <w:rsid w:val="001F5366"/>
    <w:rsid w:val="0027574E"/>
    <w:rsid w:val="002D277D"/>
    <w:rsid w:val="003D77FD"/>
    <w:rsid w:val="004031D0"/>
    <w:rsid w:val="0042774A"/>
    <w:rsid w:val="0047685B"/>
    <w:rsid w:val="004973D4"/>
    <w:rsid w:val="004B5BCB"/>
    <w:rsid w:val="00615F1D"/>
    <w:rsid w:val="00787216"/>
    <w:rsid w:val="007F3DCC"/>
    <w:rsid w:val="00814C51"/>
    <w:rsid w:val="008523D2"/>
    <w:rsid w:val="0088508B"/>
    <w:rsid w:val="00974516"/>
    <w:rsid w:val="00A23D81"/>
    <w:rsid w:val="00A74E3B"/>
    <w:rsid w:val="00AD64D4"/>
    <w:rsid w:val="00B20BE7"/>
    <w:rsid w:val="00B31F51"/>
    <w:rsid w:val="00B57C72"/>
    <w:rsid w:val="00BC0D16"/>
    <w:rsid w:val="00BC0D67"/>
    <w:rsid w:val="00C055D6"/>
    <w:rsid w:val="00C672AF"/>
    <w:rsid w:val="00CA0B5D"/>
    <w:rsid w:val="00D06043"/>
    <w:rsid w:val="00D21F5C"/>
    <w:rsid w:val="00D528D4"/>
    <w:rsid w:val="00DB1A27"/>
    <w:rsid w:val="00DC61F1"/>
    <w:rsid w:val="00E80F36"/>
    <w:rsid w:val="00EF354A"/>
    <w:rsid w:val="00F26348"/>
    <w:rsid w:val="00F76C4E"/>
    <w:rsid w:val="00FD7D27"/>
    <w:rsid w:val="00FE468D"/>
    <w:rsid w:val="1CBA00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24"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Title"/>
    <w:basedOn w:val="1"/>
    <w:link w:val="26"/>
    <w:qFormat/>
    <w:uiPriority w:val="0"/>
    <w:pPr>
      <w:widowControl/>
      <w:jc w:val="center"/>
    </w:pPr>
    <w:rPr>
      <w:rFonts w:ascii="Times New Roman" w:hAnsi="Times New Roman" w:eastAsia="Times New Roman" w:cs="Times New Roman"/>
      <w:b/>
      <w:bCs/>
      <w:color w:val="auto"/>
      <w:sz w:val="32"/>
      <w:lang w:bidi="ar-SA"/>
    </w:rPr>
  </w:style>
  <w:style w:type="paragraph" w:styleId="5">
    <w:name w:val="footer"/>
    <w:basedOn w:val="1"/>
    <w:link w:val="25"/>
    <w:unhideWhenUsed/>
    <w:uiPriority w:val="99"/>
    <w:pPr>
      <w:tabs>
        <w:tab w:val="center" w:pos="4677"/>
        <w:tab w:val="right" w:pos="9355"/>
      </w:tabs>
    </w:pPr>
  </w:style>
  <w:style w:type="character" w:customStyle="1" w:styleId="8">
    <w:name w:val="Основной текст_"/>
    <w:basedOn w:val="6"/>
    <w:link w:val="9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9">
    <w:name w:val="Основной текст1"/>
    <w:basedOn w:val="1"/>
    <w:link w:val="8"/>
    <w:uiPriority w:val="0"/>
    <w:pPr>
      <w:shd w:val="clear" w:color="auto" w:fill="FFFFFF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0">
    <w:name w:val="Заголовок №1_"/>
    <w:basedOn w:val="6"/>
    <w:link w:val="11"/>
    <w:uiPriority w:val="0"/>
    <w:rPr>
      <w:rFonts w:ascii="Times New Roman" w:hAnsi="Times New Roman" w:eastAsia="Times New Roman" w:cs="Times New Roman"/>
      <w:b/>
      <w:bCs/>
      <w:sz w:val="36"/>
      <w:szCs w:val="36"/>
      <w:u w:val="none"/>
    </w:rPr>
  </w:style>
  <w:style w:type="paragraph" w:customStyle="1" w:styleId="11">
    <w:name w:val="Заголовок №1"/>
    <w:basedOn w:val="1"/>
    <w:link w:val="10"/>
    <w:uiPriority w:val="0"/>
    <w:pPr>
      <w:shd w:val="clear" w:color="auto" w:fill="FFFFFF"/>
      <w:spacing w:after="60"/>
      <w:jc w:val="center"/>
      <w:outlineLvl w:val="0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2">
    <w:name w:val="Основной текст (2)_"/>
    <w:basedOn w:val="6"/>
    <w:link w:val="13"/>
    <w:uiPriority w:val="0"/>
    <w:rPr>
      <w:rFonts w:ascii="Times New Roman" w:hAnsi="Times New Roman" w:eastAsia="Times New Roman" w:cs="Times New Roman"/>
      <w:u w:val="none"/>
    </w:rPr>
  </w:style>
  <w:style w:type="paragraph" w:customStyle="1" w:styleId="13">
    <w:name w:val="Основной текст (2)"/>
    <w:basedOn w:val="1"/>
    <w:link w:val="12"/>
    <w:uiPriority w:val="0"/>
    <w:pPr>
      <w:shd w:val="clear" w:color="auto" w:fill="FFFFFF"/>
      <w:spacing w:line="276" w:lineRule="auto"/>
      <w:jc w:val="center"/>
    </w:pPr>
    <w:rPr>
      <w:rFonts w:ascii="Times New Roman" w:hAnsi="Times New Roman" w:eastAsia="Times New Roman" w:cs="Times New Roman"/>
    </w:rPr>
  </w:style>
  <w:style w:type="character" w:customStyle="1" w:styleId="14">
    <w:name w:val="Колонтитул (2)_"/>
    <w:basedOn w:val="6"/>
    <w:link w:val="15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15">
    <w:name w:val="Колонтитул (2)"/>
    <w:basedOn w:val="1"/>
    <w:link w:val="14"/>
    <w:uiPriority w:val="0"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6">
    <w:name w:val="Подпись к таблице_"/>
    <w:basedOn w:val="6"/>
    <w:link w:val="17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17">
    <w:name w:val="Подпись к таблице"/>
    <w:basedOn w:val="1"/>
    <w:link w:val="16"/>
    <w:uiPriority w:val="0"/>
    <w:pPr>
      <w:shd w:val="clear" w:color="auto" w:fill="FFFFFF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8">
    <w:name w:val="Другое_"/>
    <w:basedOn w:val="6"/>
    <w:link w:val="19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19">
    <w:name w:val="Другое"/>
    <w:basedOn w:val="1"/>
    <w:link w:val="18"/>
    <w:uiPriority w:val="0"/>
    <w:pPr>
      <w:shd w:val="clear" w:color="auto" w:fill="FFFFFF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20">
    <w:name w:val="Текст выноски Знак"/>
    <w:basedOn w:val="6"/>
    <w:link w:val="2"/>
    <w:semiHidden/>
    <w:qFormat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21">
    <w:name w:val="Основной текст (3)_"/>
    <w:basedOn w:val="6"/>
    <w:link w:val="22"/>
    <w:locked/>
    <w:uiPriority w:val="9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2">
    <w:name w:val="Основной текст (3)"/>
    <w:basedOn w:val="1"/>
    <w:link w:val="21"/>
    <w:uiPriority w:val="99"/>
    <w:pPr>
      <w:shd w:val="clear" w:color="auto" w:fill="FFFFFF"/>
      <w:spacing w:line="325" w:lineRule="exact"/>
      <w:jc w:val="center"/>
    </w:pPr>
    <w:rPr>
      <w:rFonts w:ascii="Times New Roman" w:hAnsi="Times New Roman" w:cs="Times New Roman"/>
      <w:i/>
      <w:iCs/>
      <w:color w:val="auto"/>
      <w:sz w:val="28"/>
      <w:szCs w:val="28"/>
    </w:rPr>
  </w:style>
  <w:style w:type="character" w:customStyle="1" w:styleId="23">
    <w:name w:val="Основной текст (3) + Не курсив"/>
    <w:basedOn w:val="21"/>
    <w:uiPriority w:val="99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24">
    <w:name w:val="Верхний колонтитул Знак"/>
    <w:basedOn w:val="6"/>
    <w:link w:val="3"/>
    <w:uiPriority w:val="99"/>
    <w:rPr>
      <w:color w:val="000000"/>
    </w:rPr>
  </w:style>
  <w:style w:type="character" w:customStyle="1" w:styleId="25">
    <w:name w:val="Нижний колонтитул Знак"/>
    <w:basedOn w:val="6"/>
    <w:link w:val="5"/>
    <w:uiPriority w:val="99"/>
    <w:rPr>
      <w:color w:val="000000"/>
    </w:rPr>
  </w:style>
  <w:style w:type="character" w:customStyle="1" w:styleId="26">
    <w:name w:val="Название Знак"/>
    <w:basedOn w:val="6"/>
    <w:link w:val="4"/>
    <w:qFormat/>
    <w:uiPriority w:val="0"/>
    <w:rPr>
      <w:rFonts w:ascii="Times New Roman" w:hAnsi="Times New Roman" w:eastAsia="Times New Roman" w:cs="Times New Roman"/>
      <w:b/>
      <w:bCs/>
      <w:sz w:val="32"/>
      <w:lang w:bidi="ar-SA"/>
    </w:rPr>
  </w:style>
  <w:style w:type="paragraph" w:styleId="27">
    <w:name w:val="No Spacing"/>
    <w:qFormat/>
    <w:uiPriority w:val="1"/>
    <w:pPr>
      <w:widowControl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2683</Words>
  <Characters>15297</Characters>
  <Lines>127</Lines>
  <Paragraphs>35</Paragraphs>
  <TotalTime>6</TotalTime>
  <ScaleCrop>false</ScaleCrop>
  <LinksUpToDate>false</LinksUpToDate>
  <CharactersWithSpaces>17945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2019-04-29T07:30:00Z</dcterms:created>
  <dc:creator>НПП "Гарант-Сервис"</dc:creator>
  <cp:lastModifiedBy>user7</cp:lastModifiedBy>
  <cp:lastPrinted>2019-04-29T12:58:00Z</cp:lastPrinted>
  <dcterms:modified xsi:type="dcterms:W3CDTF">2019-07-02T08:13:41Z</dcterms:modified>
  <dc:title>Оглавление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